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82F" w:rsidRPr="000A64D8" w:rsidRDefault="0074582F" w:rsidP="0074582F">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1718385</w:t>
      </w:r>
      <w:bookmarkStart w:id="0" w:name="_GoBack"/>
      <w:bookmarkEnd w:id="0"/>
    </w:p>
    <w:p w:rsidR="0074582F" w:rsidRPr="00FD021C" w:rsidRDefault="0074582F" w:rsidP="0074582F">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74582F" w:rsidRDefault="0074582F" w:rsidP="0074582F">
      <w:pPr>
        <w:pStyle w:val="Footer"/>
        <w:jc w:val="both"/>
        <w:rPr>
          <w:rFonts w:cs="Arial"/>
          <w:sz w:val="24"/>
          <w:szCs w:val="24"/>
        </w:rPr>
      </w:pPr>
      <w:r>
        <w:rPr>
          <w:rFonts w:cs="Arial"/>
          <w:sz w:val="24"/>
          <w:szCs w:val="24"/>
        </w:rPr>
        <w:t>Prague, Czech Republic</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445DC">
        <w:rPr>
          <w:rFonts w:ascii="Arial" w:hAnsi="Arial"/>
          <w:sz w:val="24"/>
        </w:rPr>
        <w:t>7</w:t>
      </w:r>
      <w:r w:rsidR="0041144B" w:rsidRPr="0041144B">
        <w:rPr>
          <w:rFonts w:ascii="Arial" w:hAnsi="Arial"/>
          <w:sz w:val="24"/>
        </w:rPr>
        <w:t>.2.1.3</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6A073D" w:rsidRPr="006A073D">
        <w:rPr>
          <w:rFonts w:ascii="Arial" w:hAnsi="Arial"/>
          <w:sz w:val="22"/>
          <w:szCs w:val="22"/>
        </w:rPr>
        <w:t>On Non Codebook based UL MIMO</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F2F64">
        <w:rPr>
          <w:sz w:val="24"/>
          <w:szCs w:val="24"/>
        </w:rPr>
        <w:t>in RAN1#88bis</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at least the following UL transmission schemes for data in NR</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Scheme A: Codebook based UL transmission</w:t>
      </w:r>
    </w:p>
    <w:p w:rsidR="003F2F64" w:rsidRPr="00E67E29" w:rsidRDefault="003F2F64" w:rsidP="00AF4FFF">
      <w:pPr>
        <w:numPr>
          <w:ilvl w:val="1"/>
          <w:numId w:val="19"/>
        </w:numPr>
        <w:overflowPunct/>
        <w:autoSpaceDE/>
        <w:autoSpaceDN/>
        <w:adjustRightInd/>
        <w:spacing w:after="0"/>
        <w:textAlignment w:val="auto"/>
        <w:rPr>
          <w:rFonts w:eastAsia="MS Mincho"/>
          <w:sz w:val="24"/>
        </w:rPr>
      </w:pPr>
      <w:r w:rsidRPr="00E67E29">
        <w:rPr>
          <w:rFonts w:eastAsia="MS Mincho"/>
          <w:sz w:val="24"/>
        </w:rPr>
        <w:t>Scheme B: Non-codebook based UL transmission</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frequency selective precoding for CP-OFDM when the number of transmission port is greater than Y (FFS: Value of Y).</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the indication of DL measurement RS for UE to calculate candidate precoder</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Study the mechanisms for UL precoder determination, e.g. precoded SRS based, non-precoded SRS based, hybrid precoded and non-precoded SRS based</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Diversity-based transmission schemes</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FFS: Whether the scheme has specification impact or not</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FFS: Merging of the schemes</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rank determination by gNB</w:t>
      </w:r>
    </w:p>
    <w:p w:rsidR="003F2F64" w:rsidRPr="004E0663" w:rsidRDefault="003F2F64" w:rsidP="004E0663">
      <w:pPr>
        <w:overflowPunct/>
        <w:autoSpaceDE/>
        <w:autoSpaceDN/>
        <w:adjustRightInd/>
        <w:spacing w:after="0"/>
        <w:textAlignment w:val="auto"/>
        <w:rPr>
          <w:rFonts w:eastAsia="MS Mincho"/>
          <w:sz w:val="24"/>
        </w:rPr>
      </w:pPr>
    </w:p>
    <w:p w:rsidR="003F2F64" w:rsidRPr="004E0663" w:rsidRDefault="003F2F64" w:rsidP="003F2F64">
      <w:pPr>
        <w:numPr>
          <w:ilvl w:val="0"/>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Codebook based transmission for UL is supported at least by following signaling in UL grant:</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SRI+TPMI+TRI, where </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selected SRS resource by the SRI.</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No SRI when a single SRS resource is configured</w:t>
      </w:r>
    </w:p>
    <w:p w:rsidR="003F2F64" w:rsidRPr="004E0663" w:rsidRDefault="003F2F64" w:rsidP="003F2F64">
      <w:pPr>
        <w:numPr>
          <w:ilvl w:val="3"/>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configured single SRS resource.</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Support indication on selection of multiple SRS resources </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FFS details</w:t>
      </w:r>
    </w:p>
    <w:p w:rsidR="003F2F64" w:rsidRPr="003F2F64" w:rsidRDefault="003F2F64" w:rsidP="003F2F64">
      <w:pPr>
        <w:overflowPunct/>
        <w:autoSpaceDE/>
        <w:autoSpaceDN/>
        <w:adjustRightInd/>
        <w:spacing w:after="0"/>
        <w:ind w:left="1440"/>
        <w:textAlignment w:val="auto"/>
        <w:rPr>
          <w:rFonts w:eastAsia="MS Mincho"/>
          <w:iCs/>
          <w:lang w:eastAsia="ja-JP"/>
        </w:rPr>
      </w:pPr>
    </w:p>
    <w:p w:rsidR="00725535" w:rsidRDefault="00725535" w:rsidP="003F2F64">
      <w:pPr>
        <w:rPr>
          <w:rFonts w:eastAsia="MS Mincho"/>
          <w:iCs/>
          <w:sz w:val="24"/>
          <w:lang w:eastAsia="ja-JP"/>
        </w:rPr>
      </w:pPr>
      <w:r>
        <w:rPr>
          <w:rFonts w:eastAsia="MS Mincho"/>
          <w:iCs/>
          <w:sz w:val="24"/>
          <w:lang w:eastAsia="ja-JP"/>
        </w:rPr>
        <w:t xml:space="preserve">In RAN1 Adhoc#2, the following conclusions were made </w:t>
      </w:r>
    </w:p>
    <w:p w:rsidR="001A0F72" w:rsidRPr="00725535" w:rsidRDefault="001A0F72" w:rsidP="001A0F72">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1A0F72" w:rsidRPr="004E0663" w:rsidRDefault="001A0F72" w:rsidP="001A0F72">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 xml:space="preserve">For PUSCH precoder determination in non-codebook-based UL MIMO, support at least one of the followings: </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Alt.1: Signalling of SRI(s)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lastRenderedPageBreak/>
        <w:t>Alt.2: Signalling of TRI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Alt.3: Signalling of TRI and a single SRI,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 4: signalling of a single TRI, a single CRI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To down-select in the next meeting considering single- vs. multi-panel (companies are encouraged to perform more evaluations)</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Note: this may depend UE’s capability in terms of calibration</w:t>
      </w:r>
    </w:p>
    <w:p w:rsidR="00E11C1C" w:rsidRPr="001A0F72"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w:t>
      </w:r>
      <w:r w:rsidR="001A0F72">
        <w:rPr>
          <w:rFonts w:eastAsia="MS Mincho"/>
          <w:sz w:val="24"/>
          <w:szCs w:val="24"/>
          <w:lang w:eastAsia="ja-JP"/>
        </w:rPr>
        <w:t xml:space="preserve"> non-</w:t>
      </w:r>
      <w:r w:rsidR="003F2F64">
        <w:rPr>
          <w:rFonts w:eastAsia="MS Mincho"/>
          <w:sz w:val="24"/>
          <w:szCs w:val="24"/>
          <w:lang w:eastAsia="ja-JP"/>
        </w:rPr>
        <w:t>codebook based</w:t>
      </w:r>
      <w:r w:rsidR="001A0F72">
        <w:rPr>
          <w:rFonts w:eastAsia="MS Mincho"/>
          <w:sz w:val="24"/>
          <w:szCs w:val="24"/>
          <w:lang w:eastAsia="ja-JP"/>
        </w:rPr>
        <w:t xml:space="preserve">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t xml:space="preserve"> </w:t>
      </w:r>
      <w:r w:rsidR="00AC77F9">
        <w:t xml:space="preserve">Views on </w:t>
      </w:r>
      <w:r w:rsidR="004E0663">
        <w:t xml:space="preserve">Non codebook based </w:t>
      </w:r>
      <w:r>
        <w:t xml:space="preserve">Uplink </w:t>
      </w:r>
      <w:r w:rsidR="00AC77F9">
        <w:t xml:space="preserve">MIMO </w:t>
      </w:r>
    </w:p>
    <w:p w:rsidR="004E0663" w:rsidRDefault="00AC77F9" w:rsidP="004E0663">
      <w:pPr>
        <w:overflowPunct/>
        <w:autoSpaceDE/>
        <w:autoSpaceDN/>
        <w:adjustRightInd/>
        <w:spacing w:after="0"/>
        <w:jc w:val="both"/>
        <w:textAlignment w:val="auto"/>
        <w:rPr>
          <w:color w:val="222222"/>
          <w:sz w:val="24"/>
          <w:shd w:val="clear" w:color="auto" w:fill="FFFFFF"/>
        </w:rPr>
      </w:pPr>
      <w:bookmarkStart w:id="3" w:name="_Ref378529477"/>
      <w:r w:rsidRPr="00AC77F9">
        <w:rPr>
          <w:color w:val="222222"/>
          <w:sz w:val="24"/>
          <w:shd w:val="clear" w:color="auto" w:fill="FFFFFF"/>
        </w:rPr>
        <w:t xml:space="preserve">In our view, </w:t>
      </w:r>
      <w:r w:rsidR="004E0663">
        <w:rPr>
          <w:color w:val="222222"/>
          <w:sz w:val="24"/>
          <w:shd w:val="clear" w:color="auto" w:fill="FFFFFF"/>
        </w:rPr>
        <w:t xml:space="preserve">Non codebook based uplink MIMO should be part of codebook uplink MIMO where the PMI indication in the DCI is switched off. Since the DMRS is also precoded at the UE, the UE is free to choose its own precoder without any network assistance.  </w:t>
      </w:r>
    </w:p>
    <w:p w:rsidR="004E0663" w:rsidRDefault="004E0663" w:rsidP="004E0663">
      <w:pPr>
        <w:overflowPunct/>
        <w:autoSpaceDE/>
        <w:autoSpaceDN/>
        <w:adjustRightInd/>
        <w:spacing w:after="0"/>
        <w:jc w:val="both"/>
        <w:textAlignment w:val="auto"/>
        <w:rPr>
          <w:color w:val="222222"/>
          <w:sz w:val="24"/>
          <w:shd w:val="clear" w:color="auto" w:fill="FFFFFF"/>
        </w:rPr>
      </w:pPr>
    </w:p>
    <w:p w:rsidR="004E0663" w:rsidRDefault="004E0663" w:rsidP="004E0663">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4E0663" w:rsidRDefault="004E0663" w:rsidP="00533DC1">
      <w:pPr>
        <w:overflowPunct/>
        <w:autoSpaceDE/>
        <w:autoSpaceDN/>
        <w:adjustRightInd/>
        <w:spacing w:after="0"/>
        <w:textAlignment w:val="auto"/>
        <w:rPr>
          <w:color w:val="222222"/>
          <w:sz w:val="24"/>
          <w:shd w:val="clear" w:color="auto" w:fill="FFFFFF"/>
        </w:rPr>
      </w:pPr>
    </w:p>
    <w:p w:rsidR="00AC77F9" w:rsidRDefault="00DB5810" w:rsidP="004E0663">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For precoder determination the UE can infer from the precodeed SRI for finding the best precoder for PUSCH transmission.  Hence we support Alterative 1.</w:t>
      </w:r>
    </w:p>
    <w:p w:rsidR="00AC77F9" w:rsidRPr="00AC77F9" w:rsidRDefault="00AC77F9" w:rsidP="00533DC1">
      <w:pPr>
        <w:overflowPunct/>
        <w:autoSpaceDE/>
        <w:autoSpaceDN/>
        <w:adjustRightInd/>
        <w:spacing w:after="0"/>
        <w:textAlignment w:val="auto"/>
        <w:rPr>
          <w:color w:val="222222"/>
          <w:sz w:val="24"/>
          <w:shd w:val="clear" w:color="auto" w:fill="FFFFFF"/>
        </w:rPr>
      </w:pPr>
    </w:p>
    <w:p w:rsidR="00533DC1" w:rsidRPr="00DB5810" w:rsidRDefault="004E0663" w:rsidP="00533DC1">
      <w:pPr>
        <w:overflowPunct/>
        <w:autoSpaceDE/>
        <w:autoSpaceDN/>
        <w:adjustRightInd/>
        <w:spacing w:after="0"/>
        <w:textAlignment w:val="auto"/>
        <w:rPr>
          <w:b/>
          <w:sz w:val="24"/>
        </w:rPr>
      </w:pPr>
      <w:r w:rsidRPr="00DB5810">
        <w:rPr>
          <w:b/>
          <w:sz w:val="24"/>
          <w:lang w:val="en-GB"/>
        </w:rPr>
        <w:t>Proposal 2</w:t>
      </w:r>
      <w:r w:rsidR="00533DC1" w:rsidRPr="00DB5810">
        <w:rPr>
          <w:b/>
          <w:sz w:val="24"/>
          <w:lang w:val="en-GB"/>
        </w:rPr>
        <w:t xml:space="preserve">: </w:t>
      </w:r>
      <w:r w:rsidR="00DB5810" w:rsidRPr="00DB5810">
        <w:rPr>
          <w:rFonts w:eastAsia="MS Mincho"/>
          <w:b/>
          <w:iCs/>
          <w:sz w:val="24"/>
        </w:rPr>
        <w:t>Signaling of SRI(s) only, without TPMI indication in the UL grant</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7C69A9" w:rsidRDefault="007C69A9" w:rsidP="007C69A9">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DE265F" w:rsidRPr="007C69A9" w:rsidRDefault="00DE265F" w:rsidP="00DE265F">
      <w:pPr>
        <w:overflowPunct/>
        <w:autoSpaceDE/>
        <w:autoSpaceDN/>
        <w:adjustRightInd/>
        <w:spacing w:after="0"/>
        <w:textAlignment w:val="auto"/>
        <w:rPr>
          <w:b/>
          <w:sz w:val="24"/>
        </w:rPr>
      </w:pPr>
    </w:p>
    <w:p w:rsidR="00DB5810" w:rsidRPr="00DB5810" w:rsidRDefault="00DB5810" w:rsidP="00DB5810">
      <w:pPr>
        <w:overflowPunct/>
        <w:autoSpaceDE/>
        <w:autoSpaceDN/>
        <w:adjustRightInd/>
        <w:spacing w:after="0"/>
        <w:textAlignment w:val="auto"/>
        <w:rPr>
          <w:b/>
          <w:sz w:val="24"/>
        </w:rPr>
      </w:pPr>
      <w:bookmarkStart w:id="10" w:name="_Ref450342757"/>
      <w:bookmarkEnd w:id="3"/>
      <w:r w:rsidRPr="00DB5810">
        <w:rPr>
          <w:b/>
          <w:sz w:val="24"/>
          <w:lang w:val="en-GB"/>
        </w:rPr>
        <w:t xml:space="preserve">Proposal 2: </w:t>
      </w:r>
      <w:r w:rsidRPr="00DB5810">
        <w:rPr>
          <w:rFonts w:eastAsia="MS Mincho"/>
          <w:b/>
          <w:iCs/>
          <w:sz w:val="24"/>
        </w:rPr>
        <w:t>Signaling of SRI(s) only, without TPMI indication in the UL grant</w:t>
      </w:r>
    </w:p>
    <w:p w:rsidR="00DE265F" w:rsidRPr="007C69A9" w:rsidRDefault="00DE265F" w:rsidP="00DE265F">
      <w:pPr>
        <w:overflowPunct/>
        <w:autoSpaceDE/>
        <w:autoSpaceDN/>
        <w:adjustRightInd/>
        <w:spacing w:after="0"/>
        <w:textAlignment w:val="auto"/>
        <w:rPr>
          <w:b/>
          <w:sz w:val="24"/>
        </w:rPr>
      </w:pPr>
    </w:p>
    <w:p w:rsidR="0051324A" w:rsidRDefault="0051324A" w:rsidP="0051324A">
      <w:pPr>
        <w:spacing w:after="0"/>
        <w:jc w:val="both"/>
        <w:rPr>
          <w:b/>
          <w:sz w:val="24"/>
          <w:lang w:val="en-GB"/>
        </w:rPr>
      </w:pPr>
      <w:r>
        <w:rPr>
          <w:b/>
          <w:sz w:val="24"/>
          <w:lang w:val="en-GB"/>
        </w:rPr>
        <w:t xml:space="preserve">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7AD" w:rsidRDefault="003607AD" w:rsidP="00A03DF3">
      <w:pPr>
        <w:spacing w:after="0"/>
      </w:pPr>
      <w:r>
        <w:separator/>
      </w:r>
    </w:p>
  </w:endnote>
  <w:endnote w:type="continuationSeparator" w:id="0">
    <w:p w:rsidR="003607AD" w:rsidRDefault="003607A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458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582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7AD" w:rsidRDefault="003607AD" w:rsidP="00A03DF3">
      <w:pPr>
        <w:spacing w:after="0"/>
      </w:pPr>
      <w:r>
        <w:separator/>
      </w:r>
    </w:p>
  </w:footnote>
  <w:footnote w:type="continuationSeparator" w:id="0">
    <w:p w:rsidR="003607AD" w:rsidRDefault="003607A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4"/>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0F72"/>
    <w:rsid w:val="001A19A7"/>
    <w:rsid w:val="001B362A"/>
    <w:rsid w:val="001C0C74"/>
    <w:rsid w:val="001C1CC2"/>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07AD"/>
    <w:rsid w:val="003621E7"/>
    <w:rsid w:val="00363695"/>
    <w:rsid w:val="003709E5"/>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2F64"/>
    <w:rsid w:val="003F3BD7"/>
    <w:rsid w:val="003F54E8"/>
    <w:rsid w:val="003F7B19"/>
    <w:rsid w:val="0041144B"/>
    <w:rsid w:val="00413433"/>
    <w:rsid w:val="0041500F"/>
    <w:rsid w:val="00416778"/>
    <w:rsid w:val="00416848"/>
    <w:rsid w:val="0041687B"/>
    <w:rsid w:val="00417010"/>
    <w:rsid w:val="004172B1"/>
    <w:rsid w:val="00421884"/>
    <w:rsid w:val="00425681"/>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1F7"/>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0663"/>
    <w:rsid w:val="004E24E6"/>
    <w:rsid w:val="004E3753"/>
    <w:rsid w:val="004E4A4E"/>
    <w:rsid w:val="0051043F"/>
    <w:rsid w:val="0051324A"/>
    <w:rsid w:val="00526E57"/>
    <w:rsid w:val="00530298"/>
    <w:rsid w:val="00533DC1"/>
    <w:rsid w:val="00534474"/>
    <w:rsid w:val="005352FA"/>
    <w:rsid w:val="00537F8E"/>
    <w:rsid w:val="005457DF"/>
    <w:rsid w:val="00547C78"/>
    <w:rsid w:val="0055021B"/>
    <w:rsid w:val="00553E64"/>
    <w:rsid w:val="00566BF8"/>
    <w:rsid w:val="005720AE"/>
    <w:rsid w:val="0058545D"/>
    <w:rsid w:val="00594E1F"/>
    <w:rsid w:val="005C1BF7"/>
    <w:rsid w:val="005C4155"/>
    <w:rsid w:val="005D038F"/>
    <w:rsid w:val="005E52EB"/>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073D"/>
    <w:rsid w:val="006A4ACB"/>
    <w:rsid w:val="006A53E5"/>
    <w:rsid w:val="006A5DD2"/>
    <w:rsid w:val="006B101C"/>
    <w:rsid w:val="006C31E5"/>
    <w:rsid w:val="006C47A9"/>
    <w:rsid w:val="006C6647"/>
    <w:rsid w:val="006D3D50"/>
    <w:rsid w:val="006E2912"/>
    <w:rsid w:val="006F5982"/>
    <w:rsid w:val="00703127"/>
    <w:rsid w:val="00706C10"/>
    <w:rsid w:val="007146FF"/>
    <w:rsid w:val="007229DC"/>
    <w:rsid w:val="00722FD8"/>
    <w:rsid w:val="00725535"/>
    <w:rsid w:val="0073390E"/>
    <w:rsid w:val="00735620"/>
    <w:rsid w:val="0074131E"/>
    <w:rsid w:val="00742ABC"/>
    <w:rsid w:val="00745620"/>
    <w:rsid w:val="0074582F"/>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C69A9"/>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91C74"/>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5810"/>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67E29"/>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45DC"/>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0057"/>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D0BE-0AB0-40FD-83F4-759443FB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79</cp:revision>
  <dcterms:created xsi:type="dcterms:W3CDTF">2017-03-24T19:52:00Z</dcterms:created>
  <dcterms:modified xsi:type="dcterms:W3CDTF">2017-10-01T09:25:00Z</dcterms:modified>
</cp:coreProperties>
</file>